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15" w:rsidRPr="005171BA" w:rsidRDefault="004B4215">
      <w:pPr>
        <w:pStyle w:val="BodyText"/>
        <w:spacing w:before="3"/>
        <w:rPr>
          <w:rFonts w:ascii="Times New Roman"/>
          <w:sz w:val="32"/>
          <w:szCs w:val="32"/>
        </w:rPr>
      </w:pPr>
    </w:p>
    <w:p w:rsidR="004B4215" w:rsidRDefault="00F10C9A">
      <w:pPr>
        <w:pStyle w:val="Heading1"/>
      </w:pPr>
      <w:r>
        <w:rPr>
          <w:color w:val="231F20"/>
          <w:w w:val="105"/>
        </w:rPr>
        <w:t>Water District</w:t>
      </w:r>
    </w:p>
    <w:p w:rsidR="004B4215" w:rsidRDefault="00F10C9A">
      <w:pPr>
        <w:spacing w:line="484" w:lineRule="exact"/>
        <w:ind w:left="2637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231F20"/>
          <w:spacing w:val="-7"/>
          <w:w w:val="110"/>
          <w:sz w:val="40"/>
        </w:rPr>
        <w:t>Notice</w:t>
      </w:r>
      <w:r>
        <w:rPr>
          <w:rFonts w:ascii="Calibri"/>
          <w:b/>
          <w:color w:val="231F20"/>
          <w:spacing w:val="-43"/>
          <w:w w:val="110"/>
          <w:sz w:val="40"/>
        </w:rPr>
        <w:t xml:space="preserve"> </w:t>
      </w:r>
      <w:r>
        <w:rPr>
          <w:rFonts w:ascii="Calibri"/>
          <w:b/>
          <w:color w:val="231F20"/>
          <w:spacing w:val="-4"/>
          <w:w w:val="110"/>
          <w:sz w:val="40"/>
        </w:rPr>
        <w:t>of</w:t>
      </w:r>
      <w:r>
        <w:rPr>
          <w:rFonts w:ascii="Calibri"/>
          <w:b/>
          <w:color w:val="231F20"/>
          <w:spacing w:val="-43"/>
          <w:w w:val="110"/>
          <w:sz w:val="40"/>
        </w:rPr>
        <w:t xml:space="preserve"> </w:t>
      </w:r>
      <w:r>
        <w:rPr>
          <w:rFonts w:ascii="Calibri"/>
          <w:b/>
          <w:color w:val="231F20"/>
          <w:spacing w:val="-8"/>
          <w:w w:val="110"/>
          <w:sz w:val="40"/>
        </w:rPr>
        <w:t>Public</w:t>
      </w:r>
      <w:r>
        <w:rPr>
          <w:rFonts w:ascii="Calibri"/>
          <w:b/>
          <w:color w:val="231F20"/>
          <w:spacing w:val="-43"/>
          <w:w w:val="110"/>
          <w:sz w:val="40"/>
        </w:rPr>
        <w:t xml:space="preserve"> </w:t>
      </w:r>
      <w:r>
        <w:rPr>
          <w:rFonts w:ascii="Calibri"/>
          <w:b/>
          <w:color w:val="231F20"/>
          <w:spacing w:val="-7"/>
          <w:w w:val="110"/>
          <w:sz w:val="40"/>
        </w:rPr>
        <w:t>Hearing</w:t>
      </w:r>
      <w:r>
        <w:rPr>
          <w:rFonts w:ascii="Calibri"/>
          <w:b/>
          <w:color w:val="231F20"/>
          <w:spacing w:val="-42"/>
          <w:w w:val="110"/>
          <w:sz w:val="40"/>
        </w:rPr>
        <w:t xml:space="preserve"> </w:t>
      </w:r>
      <w:r>
        <w:rPr>
          <w:rFonts w:ascii="Calibri"/>
          <w:b/>
          <w:color w:val="231F20"/>
          <w:spacing w:val="-4"/>
          <w:w w:val="110"/>
          <w:sz w:val="40"/>
        </w:rPr>
        <w:t>on</w:t>
      </w:r>
      <w:r>
        <w:rPr>
          <w:rFonts w:ascii="Calibri"/>
          <w:b/>
          <w:color w:val="231F20"/>
          <w:spacing w:val="-43"/>
          <w:w w:val="110"/>
          <w:sz w:val="40"/>
        </w:rPr>
        <w:t xml:space="preserve"> </w:t>
      </w:r>
      <w:r>
        <w:rPr>
          <w:rFonts w:ascii="Calibri"/>
          <w:b/>
          <w:color w:val="231F20"/>
          <w:spacing w:val="-14"/>
          <w:w w:val="110"/>
          <w:sz w:val="40"/>
        </w:rPr>
        <w:t>Tax</w:t>
      </w:r>
      <w:r>
        <w:rPr>
          <w:rFonts w:ascii="Calibri"/>
          <w:b/>
          <w:color w:val="231F20"/>
          <w:spacing w:val="-43"/>
          <w:w w:val="110"/>
          <w:sz w:val="40"/>
        </w:rPr>
        <w:t xml:space="preserve"> </w:t>
      </w:r>
      <w:r>
        <w:rPr>
          <w:rFonts w:ascii="Calibri"/>
          <w:b/>
          <w:color w:val="231F20"/>
          <w:spacing w:val="-7"/>
          <w:w w:val="110"/>
          <w:sz w:val="40"/>
        </w:rPr>
        <w:t>Rate</w:t>
      </w:r>
    </w:p>
    <w:p w:rsidR="004B4215" w:rsidRPr="009B374F" w:rsidRDefault="00F10C9A">
      <w:pPr>
        <w:pStyle w:val="BodyText"/>
        <w:spacing w:before="74" w:line="227" w:lineRule="exact"/>
        <w:ind w:left="472"/>
        <w:rPr>
          <w:rFonts w:ascii="Times New Roman"/>
          <w:lang w:val="es-MX"/>
        </w:rPr>
      </w:pPr>
      <w:r w:rsidRPr="009B374F">
        <w:rPr>
          <w:rFonts w:ascii="Times New Roman"/>
          <w:color w:val="231F20"/>
          <w:lang w:val="es-MX"/>
        </w:rPr>
        <w:t>P r o p e r t y Ta x</w:t>
      </w:r>
    </w:p>
    <w:p w:rsidR="004B4215" w:rsidRDefault="00F10C9A">
      <w:pPr>
        <w:pStyle w:val="Heading2"/>
        <w:spacing w:line="322" w:lineRule="exact"/>
        <w:rPr>
          <w:rFonts w:ascii="Trebuchet MS"/>
        </w:rPr>
      </w:pPr>
      <w:r>
        <w:rPr>
          <w:rFonts w:ascii="Trebuchet MS"/>
          <w:color w:val="231F20"/>
        </w:rPr>
        <w:t>Form 50-304</w:t>
      </w:r>
    </w:p>
    <w:p w:rsidR="004B4215" w:rsidRDefault="004B4215">
      <w:pPr>
        <w:spacing w:line="322" w:lineRule="exact"/>
        <w:rPr>
          <w:rFonts w:ascii="Trebuchet MS"/>
        </w:rPr>
        <w:sectPr w:rsidR="004B4215">
          <w:type w:val="continuous"/>
          <w:pgSz w:w="12240" w:h="15840"/>
          <w:pgMar w:top="620" w:right="460" w:bottom="280" w:left="460" w:header="720" w:footer="720" w:gutter="0"/>
          <w:cols w:num="2" w:space="720" w:equalWidth="0">
            <w:col w:w="8814" w:space="40"/>
            <w:col w:w="2466"/>
          </w:cols>
        </w:sectPr>
      </w:pPr>
    </w:p>
    <w:p w:rsidR="004B4215" w:rsidRDefault="004B4215">
      <w:pPr>
        <w:pStyle w:val="BodyText"/>
        <w:spacing w:before="11"/>
        <w:rPr>
          <w:rFonts w:ascii="Trebuchet MS"/>
          <w:b/>
          <w:sz w:val="19"/>
        </w:rPr>
      </w:pPr>
    </w:p>
    <w:p w:rsidR="002022A0" w:rsidRDefault="00C06020" w:rsidP="002022A0">
      <w:pPr>
        <w:pStyle w:val="Heading3"/>
        <w:spacing w:before="98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410845</wp:posOffset>
                </wp:positionV>
                <wp:extent cx="254190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96CA1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7pt,32.35pt" to="519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5nIAIAAEIEAAAOAAAAZHJzL2Uyb0RvYy54bWysU02P2jAQvVfqf7B8h3w0s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" strokecolor="#221e1f" strokeweight=".6pt">
                <w10:wrap anchorx="page"/>
              </v:line>
            </w:pict>
          </mc:Fallback>
        </mc:AlternateContent>
      </w:r>
      <w:r w:rsidR="005171BA">
        <w:rPr>
          <w:color w:val="231F20"/>
          <w:w w:val="95"/>
        </w:rPr>
        <w:t xml:space="preserve">  </w:t>
      </w:r>
      <w:r w:rsidR="002022A0">
        <w:rPr>
          <w:color w:val="231F20"/>
        </w:rPr>
        <w:t xml:space="preserve">The </w:t>
      </w:r>
      <w:r w:rsidR="002022A0" w:rsidRPr="004A7FBE">
        <w:rPr>
          <w:color w:val="231F20"/>
          <w:u w:val="single"/>
        </w:rPr>
        <w:t>Frog Pond Water Control and Improvement Dist</w:t>
      </w:r>
      <w:r w:rsidR="00DA021C" w:rsidRPr="004A7FBE">
        <w:rPr>
          <w:color w:val="231F20"/>
          <w:u w:val="single"/>
        </w:rPr>
        <w:t>rict #</w:t>
      </w:r>
      <w:r w:rsidR="00DA021C">
        <w:rPr>
          <w:color w:val="231F20"/>
        </w:rPr>
        <w:t>1</w:t>
      </w:r>
      <w:r w:rsidR="004A7FBE">
        <w:rPr>
          <w:color w:val="231F20"/>
        </w:rPr>
        <w:t xml:space="preserve"> will hold a public hearing on the proposed tax rate for the tax year 2019 on </w:t>
      </w:r>
      <w:r w:rsidR="004A7FBE" w:rsidRPr="004A7FBE">
        <w:rPr>
          <w:color w:val="231F20"/>
          <w:u w:val="single"/>
        </w:rPr>
        <w:t>August 17</w:t>
      </w:r>
      <w:r w:rsidR="004A7FBE" w:rsidRPr="004A7FBE">
        <w:rPr>
          <w:color w:val="231F20"/>
          <w:u w:val="single"/>
          <w:vertAlign w:val="superscript"/>
        </w:rPr>
        <w:t>th</w:t>
      </w:r>
      <w:r w:rsidR="004A7FBE" w:rsidRPr="004A7FBE">
        <w:rPr>
          <w:color w:val="231F20"/>
          <w:u w:val="single"/>
        </w:rPr>
        <w:t xml:space="preserve"> 2019 at 10:30</w:t>
      </w:r>
      <w:r w:rsidR="004A7FBE">
        <w:rPr>
          <w:color w:val="231F20"/>
          <w:u w:val="single"/>
        </w:rPr>
        <w:t xml:space="preserve"> </w:t>
      </w:r>
      <w:r w:rsidR="004A7FBE" w:rsidRPr="004A7FBE">
        <w:rPr>
          <w:color w:val="231F20"/>
        </w:rPr>
        <w:t>AM</w:t>
      </w:r>
      <w:r w:rsidR="004A7FBE">
        <w:rPr>
          <w:color w:val="231F20"/>
        </w:rPr>
        <w:t xml:space="preserve"> at the Colmesneil Community Center, Colmesneil, Texas.</w:t>
      </w:r>
    </w:p>
    <w:p w:rsidR="004B4215" w:rsidRPr="002022A0" w:rsidRDefault="00F10C9A" w:rsidP="002022A0">
      <w:pPr>
        <w:pStyle w:val="Heading3"/>
        <w:spacing w:before="98"/>
        <w:rPr>
          <w:color w:val="231F20"/>
        </w:rPr>
      </w:pPr>
      <w:r w:rsidRPr="002022A0">
        <w:rPr>
          <w:color w:val="231F20"/>
        </w:rPr>
        <w:t>Your</w:t>
      </w:r>
      <w:r w:rsidR="005171BA" w:rsidRPr="002022A0">
        <w:rPr>
          <w:color w:val="231F20"/>
        </w:rPr>
        <w:t xml:space="preserve"> </w:t>
      </w:r>
      <w:r w:rsidRPr="002022A0">
        <w:rPr>
          <w:color w:val="231F20"/>
        </w:rPr>
        <w:t xml:space="preserve">individual </w:t>
      </w:r>
      <w:r w:rsidRPr="002022A0">
        <w:rPr>
          <w:color w:val="231F20"/>
          <w:spacing w:val="-3"/>
        </w:rPr>
        <w:t xml:space="preserve">taxes may </w:t>
      </w:r>
      <w:r w:rsidRPr="002022A0">
        <w:rPr>
          <w:color w:val="231F20"/>
        </w:rPr>
        <w:t xml:space="preserve">increase or decrease, depending on the change in the taxable value of your property in relation </w:t>
      </w:r>
      <w:r w:rsidRPr="002022A0">
        <w:rPr>
          <w:color w:val="231F20"/>
          <w:spacing w:val="-3"/>
        </w:rPr>
        <w:t xml:space="preserve">to </w:t>
      </w:r>
      <w:r w:rsidRPr="002022A0">
        <w:rPr>
          <w:color w:val="231F20"/>
        </w:rPr>
        <w:t>the change in taxable value of all other property and the  tax rate that is</w:t>
      </w:r>
      <w:r w:rsidRPr="002022A0">
        <w:rPr>
          <w:color w:val="231F20"/>
          <w:spacing w:val="23"/>
        </w:rPr>
        <w:t xml:space="preserve"> </w:t>
      </w:r>
      <w:r w:rsidRPr="002022A0">
        <w:rPr>
          <w:color w:val="231F20"/>
        </w:rPr>
        <w:t>adopted.</w:t>
      </w:r>
    </w:p>
    <w:p w:rsidR="002022A0" w:rsidRPr="002022A0" w:rsidRDefault="002022A0" w:rsidP="005171BA">
      <w:pPr>
        <w:pStyle w:val="Heading3"/>
        <w:ind w:right="966"/>
      </w:pPr>
    </w:p>
    <w:p w:rsidR="004B4215" w:rsidRDefault="004B4215">
      <w:pPr>
        <w:sectPr w:rsidR="004B4215">
          <w:type w:val="continuous"/>
          <w:pgSz w:w="12240" w:h="15840"/>
          <w:pgMar w:top="620" w:right="460" w:bottom="280" w:left="460" w:header="720" w:footer="720" w:gutter="0"/>
          <w:cols w:space="720"/>
        </w:sectPr>
      </w:pPr>
    </w:p>
    <w:p w:rsidR="004B4215" w:rsidRDefault="00C06020">
      <w:pPr>
        <w:spacing w:before="105"/>
        <w:ind w:left="96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198755</wp:posOffset>
                </wp:positionV>
                <wp:extent cx="487235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2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2AF59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75pt,15.65pt" to="538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" strokecolor="#221e1f" strokeweight=".5pt">
                <w10:wrap anchorx="page"/>
              </v:line>
            </w:pict>
          </mc:Fallback>
        </mc:AlternateContent>
      </w:r>
      <w:r w:rsidR="00F10C9A">
        <w:rPr>
          <w:b/>
          <w:color w:val="231F20"/>
          <w:sz w:val="20"/>
        </w:rPr>
        <w:t xml:space="preserve">FOR </w:t>
      </w:r>
      <w:r w:rsidR="00F10C9A">
        <w:rPr>
          <w:color w:val="231F20"/>
          <w:sz w:val="20"/>
        </w:rPr>
        <w:t>the proposal:</w:t>
      </w:r>
    </w:p>
    <w:p w:rsidR="004B4215" w:rsidRPr="009B374F" w:rsidRDefault="00F10C9A">
      <w:pPr>
        <w:spacing w:before="108"/>
        <w:ind w:left="967"/>
        <w:rPr>
          <w:sz w:val="20"/>
          <w:szCs w:val="20"/>
        </w:rPr>
      </w:pPr>
      <w:r w:rsidRPr="009B374F">
        <w:rPr>
          <w:sz w:val="20"/>
          <w:szCs w:val="20"/>
        </w:rPr>
        <w:t>Cris Thompson, Stan Evans, Buck Johnson, Bryan Long</w:t>
      </w:r>
    </w:p>
    <w:p w:rsidR="004B4215" w:rsidRDefault="004B4215">
      <w:pPr>
        <w:rPr>
          <w:sz w:val="16"/>
        </w:rPr>
        <w:sectPr w:rsidR="004B4215">
          <w:type w:val="continuous"/>
          <w:pgSz w:w="12240" w:h="15840"/>
          <w:pgMar w:top="620" w:right="460" w:bottom="280" w:left="460" w:header="720" w:footer="720" w:gutter="0"/>
          <w:cols w:num="2" w:space="720" w:equalWidth="0">
            <w:col w:w="2649" w:space="848"/>
            <w:col w:w="7823"/>
          </w:cols>
        </w:sectPr>
      </w:pPr>
    </w:p>
    <w:p w:rsidR="004B4215" w:rsidRDefault="00F10C9A">
      <w:pPr>
        <w:tabs>
          <w:tab w:val="left" w:pos="10307"/>
        </w:tabs>
        <w:spacing w:before="120"/>
        <w:ind w:left="967"/>
        <w:rPr>
          <w:sz w:val="20"/>
        </w:rPr>
      </w:pPr>
      <w:r>
        <w:rPr>
          <w:b/>
          <w:color w:val="231F20"/>
          <w:spacing w:val="-3"/>
          <w:sz w:val="20"/>
        </w:rPr>
        <w:t xml:space="preserve">AGAINST </w:t>
      </w:r>
      <w:r>
        <w:rPr>
          <w:color w:val="231F20"/>
          <w:sz w:val="20"/>
        </w:rPr>
        <w:t>the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proposal: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4B4215" w:rsidRDefault="00F10C9A">
      <w:pPr>
        <w:tabs>
          <w:tab w:val="left" w:pos="10307"/>
        </w:tabs>
        <w:spacing w:before="120"/>
        <w:ind w:left="967"/>
        <w:rPr>
          <w:sz w:val="20"/>
        </w:rPr>
      </w:pPr>
      <w:r>
        <w:rPr>
          <w:b/>
          <w:color w:val="231F20"/>
          <w:sz w:val="20"/>
        </w:rPr>
        <w:t xml:space="preserve">PRESENT </w:t>
      </w:r>
      <w:r>
        <w:rPr>
          <w:color w:val="231F20"/>
          <w:sz w:val="20"/>
        </w:rPr>
        <w:t>and not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voting: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4B4215" w:rsidRDefault="004B4215">
      <w:pPr>
        <w:rPr>
          <w:sz w:val="20"/>
        </w:rPr>
        <w:sectPr w:rsidR="004B4215">
          <w:type w:val="continuous"/>
          <w:pgSz w:w="12240" w:h="15840"/>
          <w:pgMar w:top="620" w:right="460" w:bottom="280" w:left="460" w:header="720" w:footer="720" w:gutter="0"/>
          <w:cols w:space="720"/>
        </w:sectPr>
      </w:pPr>
    </w:p>
    <w:p w:rsidR="004B4215" w:rsidRDefault="00C06020">
      <w:pPr>
        <w:pStyle w:val="Heading4"/>
        <w:spacing w:before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1471295</wp:posOffset>
                </wp:positionH>
                <wp:positionV relativeFrom="paragraph">
                  <wp:posOffset>208280</wp:posOffset>
                </wp:positionV>
                <wp:extent cx="536638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1F1F0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85pt,16.4pt" to="538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bhIAIAAEEEAAAOAAAAZHJzL2Uyb0RvYy54bWysU8GO2jAQvVfqP1i+QxIIFCLCqkqgl22L&#10;tNsPMLZDrDq2ZRsCqvrvHTuA2P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" strokecolor="#221e1f" strokeweight=".5pt">
                <w10:wrap anchorx="page"/>
              </v:line>
            </w:pict>
          </mc:Fallback>
        </mc:AlternateContent>
      </w:r>
      <w:r w:rsidR="00F10C9A">
        <w:rPr>
          <w:color w:val="231F20"/>
        </w:rPr>
        <w:t>ABSENT:</w:t>
      </w:r>
    </w:p>
    <w:p w:rsidR="004B4215" w:rsidRDefault="005171BA" w:rsidP="00862EE0">
      <w:pPr>
        <w:spacing w:before="115"/>
        <w:ind w:left="967"/>
        <w:rPr>
          <w:sz w:val="16"/>
        </w:rPr>
        <w:sectPr w:rsidR="004B4215">
          <w:type w:val="continuous"/>
          <w:pgSz w:w="12240" w:h="15840"/>
          <w:pgMar w:top="620" w:right="460" w:bottom="280" w:left="460" w:header="720" w:footer="720" w:gutter="0"/>
          <w:cols w:num="2" w:space="720" w:equalWidth="0">
            <w:col w:w="1888" w:space="2639"/>
            <w:col w:w="6793"/>
          </w:cols>
        </w:sectPr>
      </w:pPr>
      <w:r>
        <w:rPr>
          <w:sz w:val="20"/>
          <w:szCs w:val="20"/>
        </w:rPr>
        <w:t>Da</w:t>
      </w:r>
      <w:r w:rsidR="00F10C9A" w:rsidRPr="009B374F">
        <w:rPr>
          <w:sz w:val="20"/>
          <w:szCs w:val="20"/>
        </w:rPr>
        <w:t>nny Simmons</w:t>
      </w:r>
    </w:p>
    <w:p w:rsidR="004B4215" w:rsidRPr="005171BA" w:rsidRDefault="004B4215">
      <w:pPr>
        <w:pStyle w:val="BodyText"/>
      </w:pPr>
    </w:p>
    <w:p w:rsidR="004B4215" w:rsidRDefault="00F10C9A">
      <w:pPr>
        <w:pStyle w:val="BodyText"/>
        <w:spacing w:before="99" w:line="271" w:lineRule="auto"/>
        <w:ind w:left="967" w:right="878"/>
      </w:pPr>
      <w:r>
        <w:rPr>
          <w:color w:val="231F20"/>
        </w:rPr>
        <w:t>The following table compares taxes on an average residence homestead in this taxing unit last year to taxes proposed on the average residence homestead this year.</w:t>
      </w:r>
    </w:p>
    <w:p w:rsidR="004B4215" w:rsidRDefault="00F10C9A">
      <w:pPr>
        <w:pStyle w:val="Heading4"/>
        <w:tabs>
          <w:tab w:val="left" w:pos="8674"/>
        </w:tabs>
        <w:ind w:left="5792"/>
      </w:pPr>
      <w:r>
        <w:rPr>
          <w:color w:val="231F20"/>
        </w:rPr>
        <w:t>Last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Year</w:t>
      </w:r>
      <w:r>
        <w:rPr>
          <w:color w:val="231F20"/>
          <w:spacing w:val="-4"/>
        </w:rPr>
        <w:tab/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Year</w:t>
      </w:r>
    </w:p>
    <w:p w:rsidR="004B4215" w:rsidRDefault="004B4215">
      <w:pPr>
        <w:sectPr w:rsidR="004B4215">
          <w:type w:val="continuous"/>
          <w:pgSz w:w="12240" w:h="15840"/>
          <w:pgMar w:top="620" w:right="460" w:bottom="280" w:left="460" w:header="720" w:footer="720" w:gutter="0"/>
          <w:cols w:space="720"/>
        </w:sectPr>
      </w:pPr>
    </w:p>
    <w:p w:rsidR="004B4215" w:rsidRDefault="00F10C9A">
      <w:pPr>
        <w:pStyle w:val="BodyText"/>
        <w:spacing w:before="120"/>
        <w:ind w:left="967"/>
      </w:pPr>
      <w:r>
        <w:rPr>
          <w:color w:val="231F20"/>
        </w:rPr>
        <w:t>Total tax rate (per $100 of value)</w:t>
      </w:r>
    </w:p>
    <w:p w:rsidR="004B4215" w:rsidRDefault="00F10C9A">
      <w:pPr>
        <w:tabs>
          <w:tab w:val="left" w:pos="1621"/>
          <w:tab w:val="left" w:pos="2635"/>
        </w:tabs>
        <w:spacing w:before="107"/>
        <w:ind w:left="967"/>
        <w:rPr>
          <w:sz w:val="20"/>
        </w:rPr>
      </w:pPr>
      <w:r>
        <w:br w:type="column"/>
      </w:r>
      <w:r>
        <w:rPr>
          <w:sz w:val="16"/>
          <w:u w:val="single" w:color="221E1F"/>
        </w:rPr>
        <w:t xml:space="preserve"> </w:t>
      </w:r>
      <w:r>
        <w:rPr>
          <w:sz w:val="16"/>
          <w:u w:val="single" w:color="221E1F"/>
        </w:rPr>
        <w:tab/>
      </w:r>
      <w:r w:rsidRPr="009B374F">
        <w:rPr>
          <w:sz w:val="20"/>
          <w:szCs w:val="20"/>
          <w:u w:val="single" w:color="221E1F"/>
        </w:rPr>
        <w:t>0.35</w:t>
      </w:r>
      <w:r w:rsidRPr="009B374F">
        <w:rPr>
          <w:sz w:val="20"/>
          <w:szCs w:val="20"/>
          <w:u w:val="single" w:color="221E1F"/>
        </w:rPr>
        <w:tab/>
      </w:r>
      <w:r>
        <w:rPr>
          <w:color w:val="231F20"/>
          <w:spacing w:val="-7"/>
          <w:position w:val="-4"/>
          <w:sz w:val="20"/>
        </w:rPr>
        <w:t>/$100</w:t>
      </w:r>
    </w:p>
    <w:p w:rsidR="004B4215" w:rsidRDefault="00F10C9A">
      <w:pPr>
        <w:tabs>
          <w:tab w:val="left" w:pos="1361"/>
          <w:tab w:val="left" w:pos="2350"/>
        </w:tabs>
        <w:spacing w:before="99"/>
        <w:ind w:left="682"/>
        <w:rPr>
          <w:sz w:val="20"/>
        </w:rPr>
      </w:pPr>
      <w:r>
        <w:br w:type="column"/>
      </w:r>
      <w:r>
        <w:rPr>
          <w:sz w:val="16"/>
          <w:u w:val="single" w:color="221E1F"/>
        </w:rPr>
        <w:t xml:space="preserve"> </w:t>
      </w:r>
      <w:r>
        <w:rPr>
          <w:sz w:val="16"/>
          <w:u w:val="single" w:color="221E1F"/>
        </w:rPr>
        <w:tab/>
      </w:r>
      <w:r w:rsidRPr="009B374F">
        <w:rPr>
          <w:sz w:val="20"/>
          <w:szCs w:val="20"/>
          <w:u w:val="single" w:color="221E1F"/>
        </w:rPr>
        <w:t>0.35</w:t>
      </w:r>
      <w:r w:rsidRPr="009B374F">
        <w:rPr>
          <w:sz w:val="20"/>
          <w:szCs w:val="20"/>
          <w:u w:val="single" w:color="221E1F"/>
        </w:rPr>
        <w:tab/>
      </w:r>
      <w:r>
        <w:rPr>
          <w:color w:val="231F20"/>
          <w:spacing w:val="-3"/>
          <w:position w:val="-5"/>
          <w:sz w:val="20"/>
        </w:rPr>
        <w:t>/$100</w:t>
      </w:r>
    </w:p>
    <w:p w:rsidR="004B4215" w:rsidRDefault="004B4215">
      <w:pPr>
        <w:rPr>
          <w:sz w:val="20"/>
        </w:rPr>
        <w:sectPr w:rsidR="004B4215">
          <w:type w:val="continuous"/>
          <w:pgSz w:w="12240" w:h="15840"/>
          <w:pgMar w:top="620" w:right="460" w:bottom="280" w:left="460" w:header="720" w:footer="720" w:gutter="0"/>
          <w:cols w:num="3" w:space="720" w:equalWidth="0">
            <w:col w:w="3893" w:space="427"/>
            <w:col w:w="3125" w:space="40"/>
            <w:col w:w="3835"/>
          </w:cols>
        </w:sectPr>
      </w:pPr>
    </w:p>
    <w:p w:rsidR="004B4215" w:rsidRDefault="005171BA">
      <w:pPr>
        <w:pStyle w:val="BodyText"/>
        <w:tabs>
          <w:tab w:val="left" w:pos="8167"/>
        </w:tabs>
        <w:spacing w:before="9"/>
        <w:ind w:left="5287"/>
      </w:pPr>
      <w:r>
        <w:rPr>
          <w:color w:val="231F20"/>
        </w:rPr>
        <w:t xml:space="preserve">          </w:t>
      </w:r>
      <w:r w:rsidR="00F10C9A">
        <w:rPr>
          <w:color w:val="231F20"/>
        </w:rPr>
        <w:t>Adopted</w:t>
      </w:r>
      <w:r w:rsidR="00F10C9A">
        <w:rPr>
          <w:color w:val="231F20"/>
        </w:rPr>
        <w:tab/>
      </w:r>
      <w:r>
        <w:rPr>
          <w:color w:val="231F20"/>
        </w:rPr>
        <w:t xml:space="preserve">        </w:t>
      </w:r>
      <w:r w:rsidR="00F10C9A">
        <w:rPr>
          <w:color w:val="231F20"/>
        </w:rPr>
        <w:t>Proposed</w:t>
      </w:r>
    </w:p>
    <w:p w:rsidR="004B4215" w:rsidRDefault="004B4215">
      <w:pPr>
        <w:sectPr w:rsidR="004B4215">
          <w:type w:val="continuous"/>
          <w:pgSz w:w="12240" w:h="15840"/>
          <w:pgMar w:top="620" w:right="460" w:bottom="280" w:left="460" w:header="720" w:footer="720" w:gutter="0"/>
          <w:cols w:space="720"/>
        </w:sectPr>
      </w:pPr>
    </w:p>
    <w:p w:rsidR="004B4215" w:rsidRDefault="00F10C9A">
      <w:pPr>
        <w:pStyle w:val="BodyText"/>
        <w:spacing w:before="120" w:line="364" w:lineRule="auto"/>
        <w:ind w:left="967" w:right="7"/>
      </w:pPr>
      <w:r>
        <w:rPr>
          <w:color w:val="231F20"/>
        </w:rPr>
        <w:t xml:space="preserve">Difference in rates per $100 of value Percentage increase/decrease in </w:t>
      </w:r>
      <w:proofErr w:type="gramStart"/>
      <w:r>
        <w:rPr>
          <w:color w:val="231F20"/>
        </w:rPr>
        <w:t>rates(</w:t>
      </w:r>
      <w:proofErr w:type="gramEnd"/>
      <w:r>
        <w:rPr>
          <w:color w:val="231F20"/>
        </w:rPr>
        <w:t>+/-)</w:t>
      </w:r>
    </w:p>
    <w:p w:rsidR="004B4215" w:rsidRPr="00580D0B" w:rsidRDefault="00F10C9A">
      <w:pPr>
        <w:tabs>
          <w:tab w:val="left" w:pos="1865"/>
          <w:tab w:val="left" w:pos="2746"/>
        </w:tabs>
        <w:spacing w:before="97"/>
        <w:ind w:left="967"/>
        <w:rPr>
          <w:sz w:val="20"/>
          <w:szCs w:val="20"/>
        </w:rPr>
      </w:pPr>
      <w:r>
        <w:br w:type="column"/>
      </w:r>
      <w:r>
        <w:rPr>
          <w:color w:val="231F20"/>
          <w:sz w:val="20"/>
        </w:rPr>
        <w:t>$</w:t>
      </w:r>
      <w:r>
        <w:rPr>
          <w:color w:val="231F20"/>
          <w:sz w:val="20"/>
        </w:rPr>
        <w:tab/>
      </w:r>
      <w:r w:rsidRPr="00580D0B">
        <w:rPr>
          <w:position w:val="6"/>
          <w:sz w:val="20"/>
          <w:szCs w:val="20"/>
        </w:rPr>
        <w:t>0</w:t>
      </w:r>
      <w:r w:rsidRPr="00580D0B">
        <w:rPr>
          <w:position w:val="6"/>
          <w:sz w:val="20"/>
          <w:szCs w:val="20"/>
        </w:rPr>
        <w:tab/>
      </w:r>
      <w:r w:rsidRPr="00580D0B">
        <w:rPr>
          <w:color w:val="231F20"/>
          <w:spacing w:val="-3"/>
          <w:sz w:val="20"/>
          <w:szCs w:val="20"/>
        </w:rPr>
        <w:t>/$100</w:t>
      </w:r>
    </w:p>
    <w:p w:rsidR="004B4215" w:rsidRDefault="00C06020">
      <w:pPr>
        <w:tabs>
          <w:tab w:val="left" w:pos="1868"/>
          <w:tab w:val="left" w:pos="2735"/>
        </w:tabs>
        <w:spacing w:before="88"/>
        <w:ind w:left="1067"/>
        <w:rPr>
          <w:sz w:val="20"/>
        </w:rPr>
      </w:pPr>
      <w:r w:rsidRPr="00580D0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-14605</wp:posOffset>
                </wp:positionV>
                <wp:extent cx="105918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554DC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9pt,-1.15pt" to="439.3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" strokecolor="#221e1f" strokeweight=".5pt">
                <w10:wrap anchorx="page"/>
              </v:line>
            </w:pict>
          </mc:Fallback>
        </mc:AlternateContent>
      </w:r>
      <w:r w:rsidR="00F10C9A" w:rsidRPr="00580D0B">
        <w:rPr>
          <w:sz w:val="20"/>
          <w:szCs w:val="20"/>
          <w:u w:val="single" w:color="221E1F"/>
        </w:rPr>
        <w:t xml:space="preserve"> </w:t>
      </w:r>
      <w:r w:rsidR="00F10C9A" w:rsidRPr="00580D0B">
        <w:rPr>
          <w:sz w:val="20"/>
          <w:szCs w:val="20"/>
          <w:u w:val="single" w:color="221E1F"/>
        </w:rPr>
        <w:tab/>
        <w:t>0</w:t>
      </w:r>
      <w:r w:rsidR="00580D0B">
        <w:rPr>
          <w:sz w:val="20"/>
          <w:szCs w:val="20"/>
          <w:u w:val="single" w:color="221E1F"/>
        </w:rPr>
        <w:t>%</w:t>
      </w:r>
      <w:r w:rsidR="00F10C9A">
        <w:rPr>
          <w:sz w:val="16"/>
          <w:u w:val="single" w:color="221E1F"/>
        </w:rPr>
        <w:tab/>
      </w:r>
    </w:p>
    <w:p w:rsidR="004B4215" w:rsidRDefault="004B4215">
      <w:pPr>
        <w:rPr>
          <w:sz w:val="20"/>
        </w:rPr>
        <w:sectPr w:rsidR="004B4215">
          <w:type w:val="continuous"/>
          <w:pgSz w:w="12240" w:h="15840"/>
          <w:pgMar w:top="620" w:right="460" w:bottom="280" w:left="460" w:header="720" w:footer="720" w:gutter="0"/>
          <w:cols w:num="2" w:space="720" w:equalWidth="0">
            <w:col w:w="4791" w:space="789"/>
            <w:col w:w="5740"/>
          </w:cols>
        </w:sectPr>
      </w:pPr>
    </w:p>
    <w:p w:rsidR="004B4215" w:rsidRDefault="00F10C9A" w:rsidP="005171BA">
      <w:pPr>
        <w:pStyle w:val="BodyText"/>
        <w:tabs>
          <w:tab w:val="left" w:pos="7066"/>
          <w:tab w:val="left" w:pos="8167"/>
          <w:tab w:val="left" w:pos="9946"/>
        </w:tabs>
        <w:spacing w:before="0"/>
        <w:ind w:left="967" w:right="1371"/>
        <w:jc w:val="both"/>
      </w:pPr>
      <w:r>
        <w:rPr>
          <w:color w:val="231F20"/>
          <w:spacing w:val="-3"/>
        </w:rPr>
        <w:t xml:space="preserve">Average </w:t>
      </w:r>
      <w:r>
        <w:rPr>
          <w:color w:val="231F20"/>
        </w:rPr>
        <w:t>appraised residence homestead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value </w:t>
      </w:r>
      <w:r>
        <w:rPr>
          <w:color w:val="231F20"/>
          <w:spacing w:val="34"/>
        </w:rPr>
        <w:t xml:space="preserve"> </w:t>
      </w:r>
      <w:r w:rsidR="005171BA">
        <w:rPr>
          <w:color w:val="231F20"/>
          <w:spacing w:val="34"/>
        </w:rPr>
        <w:t xml:space="preserve"> 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 w:rsidR="00101035">
        <w:rPr>
          <w:color w:val="231F20"/>
          <w:u w:val="single" w:color="221E1F"/>
        </w:rPr>
        <w:t xml:space="preserve">     57,244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$</w:t>
      </w:r>
      <w:r w:rsidR="005D738E">
        <w:rPr>
          <w:color w:val="231F20"/>
        </w:rPr>
        <w:t xml:space="preserve"> </w:t>
      </w:r>
      <w:r w:rsidR="005D738E" w:rsidRPr="00DA021C">
        <w:rPr>
          <w:color w:val="231F20"/>
          <w:u w:val="single"/>
        </w:rPr>
        <w:t xml:space="preserve">   </w:t>
      </w:r>
      <w:r w:rsidR="005D738E" w:rsidRPr="005D738E">
        <w:rPr>
          <w:color w:val="231F20"/>
          <w:u w:val="single"/>
        </w:rPr>
        <w:t>65,6</w:t>
      </w:r>
      <w:r w:rsidR="00C36E4E">
        <w:rPr>
          <w:color w:val="231F20"/>
          <w:u w:val="single"/>
        </w:rPr>
        <w:t>5</w:t>
      </w:r>
      <w:r w:rsidR="005D738E" w:rsidRPr="005D738E">
        <w:rPr>
          <w:color w:val="231F20"/>
          <w:u w:val="single"/>
        </w:rPr>
        <w:t>2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General homestead exemptions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available</w:t>
      </w:r>
    </w:p>
    <w:p w:rsidR="004B4215" w:rsidRDefault="00F10C9A" w:rsidP="005171BA">
      <w:pPr>
        <w:pStyle w:val="BodyText"/>
        <w:spacing w:before="0"/>
        <w:ind w:left="1327"/>
        <w:jc w:val="both"/>
      </w:pPr>
      <w:r>
        <w:rPr>
          <w:color w:val="231F20"/>
        </w:rPr>
        <w:t>(excluding 65 years of age or older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</w:p>
    <w:p w:rsidR="004B4215" w:rsidRDefault="00F10C9A" w:rsidP="005171BA">
      <w:pPr>
        <w:pStyle w:val="BodyText"/>
        <w:tabs>
          <w:tab w:val="left" w:pos="5287"/>
          <w:tab w:val="left" w:pos="7066"/>
          <w:tab w:val="left" w:pos="8167"/>
          <w:tab w:val="left" w:pos="9946"/>
        </w:tabs>
        <w:spacing w:before="0"/>
        <w:ind w:left="967" w:right="1371" w:firstLine="360"/>
        <w:jc w:val="both"/>
      </w:pPr>
      <w:r>
        <w:rPr>
          <w:color w:val="231F20"/>
        </w:rPr>
        <w:t>disabled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person’s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exemptions)</w:t>
      </w:r>
      <w:r>
        <w:rPr>
          <w:color w:val="231F20"/>
        </w:rPr>
        <w:tab/>
        <w:t>$</w:t>
      </w:r>
      <w:r w:rsidR="00101035">
        <w:rPr>
          <w:color w:val="231F20"/>
          <w:u w:val="single"/>
        </w:rPr>
        <w:t xml:space="preserve">         </w:t>
      </w:r>
      <w:r>
        <w:rPr>
          <w:color w:val="231F20"/>
          <w:u w:val="single" w:color="221E1F"/>
        </w:rPr>
        <w:t xml:space="preserve"> </w:t>
      </w:r>
      <w:r w:rsidR="00101035">
        <w:rPr>
          <w:color w:val="231F20"/>
          <w:u w:val="single" w:color="221E1F"/>
        </w:rPr>
        <w:t>0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 w:rsidRPr="00101035">
        <w:rPr>
          <w:color w:val="231F20"/>
        </w:rPr>
        <w:t>$</w:t>
      </w:r>
      <w:r w:rsidR="00101035" w:rsidRPr="00101035">
        <w:rPr>
          <w:color w:val="231F20"/>
          <w:u w:val="single"/>
        </w:rPr>
        <w:t xml:space="preserve">           0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Average </w:t>
      </w:r>
      <w:r>
        <w:rPr>
          <w:color w:val="231F20"/>
        </w:rPr>
        <w:t>residence homestead taxable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value   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 w:rsidR="005D738E">
        <w:rPr>
          <w:color w:val="231F20"/>
          <w:u w:val="single" w:color="221E1F"/>
        </w:rPr>
        <w:t xml:space="preserve">  57,244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proofErr w:type="gramStart"/>
      <w:r>
        <w:rPr>
          <w:color w:val="231F20"/>
        </w:rPr>
        <w:t>$</w:t>
      </w:r>
      <w:r w:rsidR="005D738E" w:rsidRPr="005D738E">
        <w:rPr>
          <w:color w:val="231F20"/>
          <w:u w:val="single"/>
        </w:rPr>
        <w:t xml:space="preserve">  6</w:t>
      </w:r>
      <w:r w:rsidR="00466829">
        <w:rPr>
          <w:color w:val="231F20"/>
          <w:u w:val="single"/>
        </w:rPr>
        <w:t>5</w:t>
      </w:r>
      <w:r w:rsidR="005D738E" w:rsidRPr="005D738E">
        <w:rPr>
          <w:color w:val="231F20"/>
          <w:u w:val="single"/>
        </w:rPr>
        <w:t>,6</w:t>
      </w:r>
      <w:r w:rsidR="00C36E4E">
        <w:rPr>
          <w:color w:val="231F20"/>
          <w:u w:val="single"/>
        </w:rPr>
        <w:t>5</w:t>
      </w:r>
      <w:r w:rsidR="005D738E" w:rsidRPr="005D738E">
        <w:rPr>
          <w:color w:val="231F20"/>
          <w:u w:val="single"/>
        </w:rPr>
        <w:t>2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Tax </w:t>
      </w:r>
      <w:r>
        <w:rPr>
          <w:color w:val="231F20"/>
        </w:rPr>
        <w:t>on average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homestead</w:t>
      </w:r>
      <w:r>
        <w:rPr>
          <w:color w:val="231F20"/>
        </w:rPr>
        <w:tab/>
        <w:t>$</w:t>
      </w:r>
      <w:r>
        <w:rPr>
          <w:color w:val="231F20"/>
          <w:u w:val="single" w:color="221E1F"/>
        </w:rPr>
        <w:t xml:space="preserve"> </w:t>
      </w:r>
      <w:r w:rsidR="006D3609">
        <w:rPr>
          <w:color w:val="231F20"/>
          <w:u w:val="single" w:color="221E1F"/>
        </w:rPr>
        <w:t xml:space="preserve">  200.35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$</w:t>
      </w:r>
      <w:r w:rsidR="006D3609">
        <w:rPr>
          <w:color w:val="231F20"/>
        </w:rPr>
        <w:t xml:space="preserve"> </w:t>
      </w:r>
      <w:r w:rsidR="006D3609">
        <w:rPr>
          <w:color w:val="231F20"/>
          <w:u w:val="single"/>
        </w:rPr>
        <w:t xml:space="preserve">   229.</w:t>
      </w:r>
      <w:r w:rsidR="00B62ED3">
        <w:rPr>
          <w:color w:val="231F20"/>
          <w:u w:val="single"/>
        </w:rPr>
        <w:t>78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Annual increase/decrease in taxes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if</w:t>
      </w:r>
    </w:p>
    <w:p w:rsidR="004B4215" w:rsidRDefault="00F10C9A" w:rsidP="005171BA">
      <w:pPr>
        <w:pStyle w:val="BodyText"/>
        <w:tabs>
          <w:tab w:val="left" w:pos="5287"/>
          <w:tab w:val="left" w:pos="5387"/>
          <w:tab w:val="left" w:pos="7055"/>
        </w:tabs>
        <w:spacing w:before="0"/>
        <w:ind w:left="1327" w:right="4086"/>
        <w:jc w:val="both"/>
      </w:pPr>
      <w:r>
        <w:rPr>
          <w:color w:val="231F20"/>
        </w:rPr>
        <w:t>proposed tax rate 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(+/-)</w:t>
      </w:r>
      <w:r>
        <w:rPr>
          <w:color w:val="231F20"/>
        </w:rPr>
        <w:tab/>
        <w:t>$</w:t>
      </w:r>
      <w:r w:rsidR="006D3609">
        <w:rPr>
          <w:color w:val="231F20"/>
        </w:rPr>
        <w:t xml:space="preserve">   </w:t>
      </w:r>
      <w:r w:rsidR="006D3609" w:rsidRPr="006D3609">
        <w:rPr>
          <w:color w:val="231F20"/>
          <w:u w:val="single"/>
        </w:rPr>
        <w:t xml:space="preserve">   </w:t>
      </w:r>
      <w:r w:rsidR="00B62ED3">
        <w:rPr>
          <w:color w:val="231F20"/>
          <w:u w:val="single"/>
        </w:rPr>
        <w:t>29.43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and percentage 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(+/-)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 w:rsidR="006D3609">
        <w:rPr>
          <w:color w:val="231F20"/>
          <w:u w:val="single" w:color="221E1F"/>
        </w:rPr>
        <w:t xml:space="preserve">     </w:t>
      </w:r>
      <w:r w:rsidR="00B62ED3">
        <w:rPr>
          <w:color w:val="231F20"/>
          <w:u w:val="single" w:color="221E1F"/>
        </w:rPr>
        <w:t>14.6</w:t>
      </w:r>
      <w:bookmarkStart w:id="0" w:name="_GoBack"/>
      <w:bookmarkEnd w:id="0"/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>%</w:t>
      </w:r>
    </w:p>
    <w:p w:rsidR="004B4215" w:rsidRDefault="004B4215">
      <w:pPr>
        <w:pStyle w:val="BodyText"/>
        <w:rPr>
          <w:sz w:val="9"/>
        </w:rPr>
      </w:pPr>
    </w:p>
    <w:p w:rsidR="004B4215" w:rsidRDefault="00F10C9A">
      <w:pPr>
        <w:pStyle w:val="Heading2"/>
        <w:spacing w:before="107"/>
        <w:ind w:left="1837" w:right="1707"/>
        <w:jc w:val="center"/>
      </w:pPr>
      <w:r>
        <w:rPr>
          <w:color w:val="231F20"/>
        </w:rPr>
        <w:t xml:space="preserve">NOTICE OF </w:t>
      </w:r>
      <w:r>
        <w:rPr>
          <w:color w:val="231F20"/>
          <w:spacing w:val="-9"/>
        </w:rPr>
        <w:t xml:space="preserve">TAXPAYERS’ </w:t>
      </w:r>
      <w:r>
        <w:rPr>
          <w:color w:val="231F20"/>
        </w:rPr>
        <w:t>RIGHT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6"/>
        </w:rPr>
        <w:t xml:space="preserve">TO </w:t>
      </w:r>
      <w:r>
        <w:rPr>
          <w:color w:val="231F20"/>
          <w:spacing w:val="-4"/>
        </w:rPr>
        <w:t xml:space="preserve">ROLLBACK </w:t>
      </w:r>
      <w:r>
        <w:rPr>
          <w:color w:val="231F20"/>
        </w:rPr>
        <w:t>ELECTION</w:t>
      </w:r>
    </w:p>
    <w:p w:rsidR="004B4215" w:rsidRDefault="00F10C9A">
      <w:pPr>
        <w:pStyle w:val="BodyText"/>
        <w:spacing w:before="13" w:line="271" w:lineRule="auto"/>
        <w:ind w:left="967" w:right="860"/>
      </w:pPr>
      <w:r>
        <w:rPr>
          <w:color w:val="231F20"/>
        </w:rPr>
        <w:t xml:space="preserve">If taxes on the average residence homestead increase by more than eight percent, the qualified </w:t>
      </w:r>
      <w:r>
        <w:rPr>
          <w:color w:val="231F20"/>
          <w:spacing w:val="-3"/>
        </w:rPr>
        <w:t xml:space="preserve">voters </w:t>
      </w:r>
      <w:r>
        <w:rPr>
          <w:color w:val="231F20"/>
        </w:rPr>
        <w:t xml:space="preserve">of the water district by petition may require that an election be held to determine whether to reduce the opera-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and maintenance tax rate to the rollback tax rate under Section 49.236(d), </w:t>
      </w:r>
      <w:r>
        <w:rPr>
          <w:color w:val="231F20"/>
          <w:spacing w:val="-3"/>
        </w:rPr>
        <w:t>Water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Code.</w:t>
      </w:r>
    </w:p>
    <w:p w:rsidR="004B4215" w:rsidRPr="00580D0B" w:rsidRDefault="00F10C9A" w:rsidP="00580D0B">
      <w:pPr>
        <w:spacing w:before="81" w:line="266" w:lineRule="auto"/>
        <w:ind w:left="967" w:right="860"/>
        <w:rPr>
          <w:i/>
          <w:sz w:val="20"/>
        </w:rPr>
        <w:sectPr w:rsidR="004B4215" w:rsidRPr="00580D0B">
          <w:type w:val="continuous"/>
          <w:pgSz w:w="12240" w:h="15840"/>
          <w:pgMar w:top="620" w:right="460" w:bottom="280" w:left="460" w:header="720" w:footer="720" w:gutter="0"/>
          <w:cols w:space="720"/>
        </w:sectPr>
      </w:pPr>
      <w:r>
        <w:rPr>
          <w:i/>
          <w:color w:val="231F20"/>
          <w:position w:val="1"/>
          <w:sz w:val="20"/>
        </w:rPr>
        <w:t xml:space="preserve">Include the following statement if the water district proposes to adopt a combined tax rate that would </w:t>
      </w:r>
      <w:proofErr w:type="spellStart"/>
      <w:r>
        <w:rPr>
          <w:i/>
          <w:color w:val="231F20"/>
          <w:position w:val="1"/>
          <w:sz w:val="20"/>
        </w:rPr>
        <w:t>autho</w:t>
      </w:r>
      <w:proofErr w:type="spellEnd"/>
      <w:r w:rsidR="00580D0B">
        <w:rPr>
          <w:i/>
          <w:color w:val="231F20"/>
          <w:sz w:val="20"/>
        </w:rPr>
        <w:t>-</w:t>
      </w:r>
      <w:proofErr w:type="spellStart"/>
      <w:r>
        <w:rPr>
          <w:i/>
          <w:color w:val="231F20"/>
          <w:sz w:val="20"/>
        </w:rPr>
        <w:t>rize</w:t>
      </w:r>
      <w:proofErr w:type="spellEnd"/>
      <w:r>
        <w:rPr>
          <w:i/>
          <w:color w:val="231F20"/>
          <w:sz w:val="20"/>
        </w:rPr>
        <w:t xml:space="preserve"> the qualified voters of the district to require a rollback election (the proposed tax rate exceeds the roll- back tax rate).</w:t>
      </w:r>
    </w:p>
    <w:p w:rsidR="004B4215" w:rsidRDefault="004B4215">
      <w:pPr>
        <w:sectPr w:rsidR="004B4215">
          <w:type w:val="continuous"/>
          <w:pgSz w:w="12240" w:h="15840"/>
          <w:pgMar w:top="620" w:right="460" w:bottom="280" w:left="460" w:header="720" w:footer="720" w:gutter="0"/>
          <w:cols w:num="3" w:space="720" w:equalWidth="0">
            <w:col w:w="1312" w:space="40"/>
            <w:col w:w="3558" w:space="39"/>
            <w:col w:w="6371"/>
          </w:cols>
        </w:sectPr>
      </w:pPr>
    </w:p>
    <w:p w:rsidR="004B4215" w:rsidRDefault="004B4215">
      <w:pPr>
        <w:pStyle w:val="BodyText"/>
        <w:spacing w:before="0"/>
      </w:pPr>
    </w:p>
    <w:p w:rsidR="004B4215" w:rsidRDefault="004B4215">
      <w:pPr>
        <w:sectPr w:rsidR="004B4215">
          <w:type w:val="continuous"/>
          <w:pgSz w:w="12240" w:h="15840"/>
          <w:pgMar w:top="620" w:right="460" w:bottom="280" w:left="460" w:header="720" w:footer="720" w:gutter="0"/>
          <w:cols w:space="720"/>
        </w:sectPr>
      </w:pPr>
    </w:p>
    <w:p w:rsidR="004B4215" w:rsidRDefault="004B4215">
      <w:pPr>
        <w:pStyle w:val="BodyText"/>
        <w:rPr>
          <w:sz w:val="21"/>
        </w:rPr>
      </w:pPr>
    </w:p>
    <w:p w:rsidR="004B4215" w:rsidRDefault="00F10C9A">
      <w:pPr>
        <w:spacing w:line="247" w:lineRule="auto"/>
        <w:ind w:left="116"/>
        <w:rPr>
          <w:rFonts w:ascii="Trebuchet MS"/>
          <w:sz w:val="15"/>
        </w:rPr>
      </w:pPr>
      <w:r>
        <w:rPr>
          <w:rFonts w:ascii="Trebuchet MS"/>
          <w:color w:val="231F20"/>
          <w:sz w:val="15"/>
        </w:rPr>
        <w:t xml:space="preserve">The Property </w:t>
      </w:r>
      <w:r>
        <w:rPr>
          <w:rFonts w:ascii="Trebuchet MS"/>
          <w:color w:val="231F20"/>
          <w:spacing w:val="-4"/>
          <w:sz w:val="15"/>
        </w:rPr>
        <w:t xml:space="preserve">Tax </w:t>
      </w:r>
      <w:r>
        <w:rPr>
          <w:rFonts w:ascii="Trebuchet MS"/>
          <w:color w:val="231F20"/>
          <w:sz w:val="15"/>
        </w:rPr>
        <w:t xml:space="preserve">Assistance Division at the </w:t>
      </w:r>
      <w:r>
        <w:rPr>
          <w:rFonts w:ascii="Trebuchet MS"/>
          <w:color w:val="231F20"/>
          <w:spacing w:val="-3"/>
          <w:sz w:val="15"/>
        </w:rPr>
        <w:t xml:space="preserve">Texas </w:t>
      </w:r>
      <w:r>
        <w:rPr>
          <w:rFonts w:ascii="Trebuchet MS"/>
          <w:color w:val="231F20"/>
          <w:sz w:val="15"/>
        </w:rPr>
        <w:t xml:space="preserve">Comptroller of </w:t>
      </w:r>
      <w:r>
        <w:rPr>
          <w:rFonts w:ascii="Trebuchet MS"/>
          <w:color w:val="231F20"/>
          <w:spacing w:val="-3"/>
          <w:sz w:val="15"/>
        </w:rPr>
        <w:t xml:space="preserve">Public </w:t>
      </w:r>
      <w:r>
        <w:rPr>
          <w:rFonts w:ascii="Trebuchet MS"/>
          <w:color w:val="231F20"/>
          <w:sz w:val="15"/>
        </w:rPr>
        <w:t xml:space="preserve">Accounts provides property tax </w:t>
      </w:r>
      <w:r>
        <w:rPr>
          <w:rFonts w:ascii="Trebuchet MS"/>
          <w:color w:val="231F20"/>
          <w:w w:val="95"/>
          <w:sz w:val="15"/>
        </w:rPr>
        <w:t>information</w:t>
      </w:r>
      <w:r>
        <w:rPr>
          <w:rFonts w:ascii="Trebuchet MS"/>
          <w:color w:val="231F20"/>
          <w:spacing w:val="-8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and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resources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for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taxpayers,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local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taxing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entities,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appraisal</w:t>
      </w:r>
      <w:r>
        <w:rPr>
          <w:rFonts w:ascii="Trebuchet MS"/>
          <w:color w:val="231F20"/>
          <w:spacing w:val="-8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districts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and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appraisal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review</w:t>
      </w:r>
      <w:r>
        <w:rPr>
          <w:rFonts w:ascii="Trebuchet MS"/>
          <w:color w:val="231F20"/>
          <w:spacing w:val="-7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boards.</w:t>
      </w:r>
    </w:p>
    <w:p w:rsidR="004B4215" w:rsidRDefault="00F10C9A">
      <w:pPr>
        <w:pStyle w:val="BodyText"/>
        <w:spacing w:before="10"/>
        <w:rPr>
          <w:rFonts w:ascii="Trebuchet MS"/>
        </w:rPr>
      </w:pPr>
      <w:r>
        <w:br w:type="column"/>
      </w:r>
    </w:p>
    <w:p w:rsidR="004B4215" w:rsidRDefault="00F10C9A">
      <w:pPr>
        <w:spacing w:before="1" w:line="162" w:lineRule="exact"/>
        <w:ind w:left="611"/>
        <w:rPr>
          <w:rFonts w:ascii="Trebuchet MS"/>
          <w:sz w:val="15"/>
        </w:rPr>
      </w:pPr>
      <w:r>
        <w:rPr>
          <w:rFonts w:ascii="Trebuchet MS"/>
          <w:color w:val="231F20"/>
          <w:w w:val="95"/>
          <w:sz w:val="15"/>
        </w:rPr>
        <w:t>For</w:t>
      </w:r>
      <w:r>
        <w:rPr>
          <w:rFonts w:ascii="Trebuchet MS"/>
          <w:color w:val="231F20"/>
          <w:spacing w:val="-11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more</w:t>
      </w:r>
      <w:r>
        <w:rPr>
          <w:rFonts w:ascii="Trebuchet MS"/>
          <w:color w:val="231F20"/>
          <w:spacing w:val="-11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information,</w:t>
      </w:r>
      <w:r>
        <w:rPr>
          <w:rFonts w:ascii="Trebuchet MS"/>
          <w:color w:val="231F20"/>
          <w:spacing w:val="-11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visit</w:t>
      </w:r>
      <w:r>
        <w:rPr>
          <w:rFonts w:ascii="Trebuchet MS"/>
          <w:color w:val="231F20"/>
          <w:spacing w:val="-11"/>
          <w:w w:val="95"/>
          <w:sz w:val="15"/>
        </w:rPr>
        <w:t xml:space="preserve"> </w:t>
      </w:r>
      <w:r>
        <w:rPr>
          <w:rFonts w:ascii="Trebuchet MS"/>
          <w:color w:val="231F20"/>
          <w:w w:val="95"/>
          <w:sz w:val="15"/>
        </w:rPr>
        <w:t>our</w:t>
      </w:r>
      <w:r>
        <w:rPr>
          <w:rFonts w:ascii="Trebuchet MS"/>
          <w:color w:val="231F20"/>
          <w:spacing w:val="-11"/>
          <w:w w:val="95"/>
          <w:sz w:val="15"/>
        </w:rPr>
        <w:t xml:space="preserve"> </w:t>
      </w:r>
      <w:r>
        <w:rPr>
          <w:rFonts w:ascii="Trebuchet MS"/>
          <w:color w:val="231F20"/>
          <w:spacing w:val="-3"/>
          <w:w w:val="95"/>
          <w:sz w:val="15"/>
        </w:rPr>
        <w:t>website:</w:t>
      </w:r>
    </w:p>
    <w:p w:rsidR="004B4215" w:rsidRDefault="00B62ED3">
      <w:pPr>
        <w:spacing w:line="190" w:lineRule="exact"/>
        <w:ind w:left="116"/>
        <w:rPr>
          <w:rFonts w:ascii="Trebuchet MS"/>
          <w:b/>
          <w:sz w:val="18"/>
        </w:rPr>
      </w:pPr>
      <w:hyperlink r:id="rId4">
        <w:r w:rsidR="00F10C9A">
          <w:rPr>
            <w:rFonts w:ascii="Trebuchet MS"/>
            <w:b/>
            <w:color w:val="231F20"/>
            <w:spacing w:val="-1"/>
            <w:w w:val="90"/>
            <w:sz w:val="18"/>
          </w:rPr>
          <w:t>comptroller.texas.gov/tax</w:t>
        </w:r>
        <w:r w:rsidR="00F10C9A">
          <w:rPr>
            <w:rFonts w:ascii="Calibri"/>
            <w:b/>
            <w:color w:val="231F20"/>
            <w:spacing w:val="-1"/>
            <w:w w:val="90"/>
            <w:sz w:val="18"/>
          </w:rPr>
          <w:t>es</w:t>
        </w:r>
        <w:r w:rsidR="00F10C9A">
          <w:rPr>
            <w:rFonts w:ascii="Trebuchet MS"/>
            <w:b/>
            <w:color w:val="231F20"/>
            <w:spacing w:val="-1"/>
            <w:w w:val="90"/>
            <w:sz w:val="18"/>
          </w:rPr>
          <w:t>/prop</w:t>
        </w:r>
        <w:r w:rsidR="00F10C9A">
          <w:rPr>
            <w:rFonts w:ascii="Calibri"/>
            <w:b/>
            <w:color w:val="231F20"/>
            <w:spacing w:val="-1"/>
            <w:w w:val="90"/>
            <w:sz w:val="18"/>
          </w:rPr>
          <w:t>erty-</w:t>
        </w:r>
        <w:r w:rsidR="00F10C9A">
          <w:rPr>
            <w:rFonts w:ascii="Trebuchet MS"/>
            <w:b/>
            <w:color w:val="231F20"/>
            <w:spacing w:val="-1"/>
            <w:w w:val="90"/>
            <w:sz w:val="18"/>
          </w:rPr>
          <w:t>tax</w:t>
        </w:r>
      </w:hyperlink>
    </w:p>
    <w:p w:rsidR="004B4215" w:rsidRDefault="00F10C9A">
      <w:pPr>
        <w:spacing w:line="157" w:lineRule="exact"/>
        <w:ind w:left="2142"/>
        <w:rPr>
          <w:rFonts w:ascii="Book Antiqua" w:hAnsi="Book Antiqua"/>
          <w:sz w:val="14"/>
        </w:rPr>
      </w:pPr>
      <w:r>
        <w:rPr>
          <w:rFonts w:ascii="Times New Roman" w:hAnsi="Times New Roman"/>
          <w:color w:val="231F20"/>
          <w:w w:val="105"/>
          <w:sz w:val="14"/>
        </w:rPr>
        <w:t>50-304 •</w:t>
      </w:r>
      <w:r>
        <w:rPr>
          <w:rFonts w:ascii="Times New Roman" w:hAnsi="Times New Roman"/>
          <w:color w:val="231F20"/>
          <w:spacing w:val="-24"/>
          <w:w w:val="105"/>
          <w:sz w:val="14"/>
        </w:rPr>
        <w:t xml:space="preserve"> </w:t>
      </w:r>
      <w:r>
        <w:rPr>
          <w:rFonts w:ascii="Book Antiqua" w:hAnsi="Book Antiqua"/>
          <w:color w:val="231F20"/>
          <w:w w:val="105"/>
          <w:sz w:val="14"/>
        </w:rPr>
        <w:t>04</w:t>
      </w:r>
      <w:r>
        <w:rPr>
          <w:rFonts w:ascii="Times New Roman" w:hAnsi="Times New Roman"/>
          <w:color w:val="231F20"/>
          <w:w w:val="105"/>
          <w:sz w:val="14"/>
        </w:rPr>
        <w:t>-1</w:t>
      </w:r>
      <w:r>
        <w:rPr>
          <w:rFonts w:ascii="Book Antiqua" w:hAnsi="Book Antiqua"/>
          <w:color w:val="231F20"/>
          <w:w w:val="105"/>
          <w:sz w:val="14"/>
        </w:rPr>
        <w:t>7</w:t>
      </w:r>
      <w:r>
        <w:rPr>
          <w:rFonts w:ascii="Times New Roman" w:hAnsi="Times New Roman"/>
          <w:color w:val="231F20"/>
          <w:w w:val="105"/>
          <w:sz w:val="14"/>
        </w:rPr>
        <w:t>/</w:t>
      </w:r>
      <w:r>
        <w:rPr>
          <w:rFonts w:ascii="Book Antiqua" w:hAnsi="Book Antiqua"/>
          <w:color w:val="231F20"/>
          <w:w w:val="105"/>
          <w:sz w:val="14"/>
        </w:rPr>
        <w:t>5</w:t>
      </w:r>
    </w:p>
    <w:sectPr w:rsidR="004B4215">
      <w:type w:val="continuous"/>
      <w:pgSz w:w="12240" w:h="15840"/>
      <w:pgMar w:top="620" w:right="460" w:bottom="280" w:left="460" w:header="720" w:footer="720" w:gutter="0"/>
      <w:cols w:num="2" w:space="720" w:equalWidth="0">
        <w:col w:w="7144" w:space="936"/>
        <w:col w:w="3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5"/>
    <w:rsid w:val="00101035"/>
    <w:rsid w:val="001F0C8C"/>
    <w:rsid w:val="002022A0"/>
    <w:rsid w:val="00466829"/>
    <w:rsid w:val="004A7FBE"/>
    <w:rsid w:val="004B4215"/>
    <w:rsid w:val="005171BA"/>
    <w:rsid w:val="00580D0B"/>
    <w:rsid w:val="005D738E"/>
    <w:rsid w:val="006D3609"/>
    <w:rsid w:val="00862EE0"/>
    <w:rsid w:val="009B374F"/>
    <w:rsid w:val="00B62ED3"/>
    <w:rsid w:val="00C06020"/>
    <w:rsid w:val="00C36E4E"/>
    <w:rsid w:val="00DA021C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BA66"/>
  <w15:docId w15:val="{5CF10EE1-706F-464C-BF71-DF2E1A9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84" w:lineRule="exact"/>
      <w:ind w:left="2637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40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4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0"/>
      <w:ind w:left="96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troller.texas.gov/taxes/property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50-304 Water District Notice of Public Hearing on Tax Rate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50-304 Water District Notice of Public Hearing on Tax Rate</dc:title>
  <dc:subject>50-304 Water District Notice of Public Hearing on Tax Rate</dc:subject>
  <dc:creator>Texas Comptroller of Public Accounts</dc:creator>
  <cp:lastModifiedBy>Thompson, Cris (GE Oil &amp; Gas)</cp:lastModifiedBy>
  <cp:revision>3</cp:revision>
  <dcterms:created xsi:type="dcterms:W3CDTF">2019-08-01T12:07:00Z</dcterms:created>
  <dcterms:modified xsi:type="dcterms:W3CDTF">2019-08-01T12:09:00Z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2019-08-01T00:00:00Z</vt:filetime>
  </property>
</Properties>
</file>